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jc w:val="center"/>
        <w:outlineLvl w:val="0"/>
        <w:rPr>
          <w:rFonts w:ascii="宋体" w:hAnsi="宋体" w:eastAsia="宋体" w:cs="宋体"/>
          <w:b/>
          <w:bCs/>
          <w:sz w:val="44"/>
          <w:szCs w:val="44"/>
        </w:rPr>
      </w:pPr>
      <w:bookmarkStart w:id="0" w:name="_Toc14920"/>
      <w:r>
        <w:rPr>
          <w:rFonts w:hint="eastAsia" w:ascii="宋体" w:hAnsi="宋体" w:eastAsia="宋体" w:cs="宋体"/>
          <w:b/>
          <w:bCs/>
          <w:sz w:val="44"/>
          <w:szCs w:val="44"/>
        </w:rPr>
        <w:t>P系列视频拼接服务器使用说明</w:t>
      </w:r>
      <w:bookmarkEnd w:id="0"/>
    </w:p>
    <w:p>
      <w:pPr>
        <w:ind w:firstLine="3092" w:firstLineChars="700"/>
        <w:outlineLvl w:val="0"/>
        <w:rPr>
          <w:rFonts w:ascii="宋体" w:hAnsi="宋体" w:eastAsia="宋体" w:cs="宋体"/>
          <w:b/>
          <w:bCs/>
          <w:sz w:val="44"/>
          <w:szCs w:val="44"/>
        </w:rPr>
      </w:pPr>
      <w:bookmarkStart w:id="1" w:name="_Toc24482"/>
      <w:r>
        <w:rPr>
          <w:rFonts w:hint="eastAsia" w:ascii="宋体" w:hAnsi="宋体" w:eastAsia="宋体" w:cs="宋体"/>
          <w:b/>
          <w:bCs/>
          <w:sz w:val="44"/>
          <w:szCs w:val="44"/>
        </w:rPr>
        <w:t>（入门级）</w:t>
      </w:r>
      <w:bookmarkEnd w:id="1"/>
    </w:p>
    <w:p>
      <w:pPr>
        <w:ind w:firstLine="3092" w:firstLineChars="700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numPr>
          <w:ilvl w:val="0"/>
          <w:numId w:val="1"/>
        </w:numPr>
        <w:tabs>
          <w:tab w:val="center" w:pos="5173"/>
          <w:tab w:val="left" w:pos="9017"/>
        </w:tabs>
        <w:spacing w:line="360" w:lineRule="auto"/>
        <w:jc w:val="left"/>
        <w:outlineLvl w:val="0"/>
        <w:rPr>
          <w:rFonts w:ascii="宋体" w:hAnsi="宋体" w:eastAsia="宋体" w:cs="宋体"/>
          <w:b/>
          <w:bCs/>
          <w:sz w:val="30"/>
          <w:szCs w:val="30"/>
        </w:rPr>
      </w:pPr>
      <w:bookmarkStart w:id="2" w:name="_Toc2739"/>
      <w:bookmarkStart w:id="3" w:name="_Toc13455"/>
      <w:r>
        <w:rPr>
          <w:rFonts w:hint="eastAsia" w:ascii="宋体" w:hAnsi="宋体" w:eastAsia="宋体" w:cs="宋体"/>
          <w:b/>
          <w:bCs/>
          <w:sz w:val="30"/>
          <w:szCs w:val="30"/>
        </w:rPr>
        <w:t>声明</w:t>
      </w:r>
      <w:bookmarkEnd w:id="2"/>
      <w:bookmarkEnd w:id="3"/>
      <w:r>
        <w:rPr>
          <w:rFonts w:hint="eastAsia" w:ascii="宋体" w:hAnsi="宋体" w:eastAsia="宋体" w:cs="宋体"/>
          <w:b/>
          <w:bCs/>
          <w:sz w:val="30"/>
          <w:szCs w:val="30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首先感谢您使用本公司的产品，为了您的使用安全，请您在使用前仔细阅读本手册，按要求施工操作，以免操作不当给您造成不必要的损失。因不按手册说明操作不当引起的设备损坏，或因此造成的财产损失和人身伤害等，本公司不承担责任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本公司拥有本手册版权所有权。本公司保留对本文档的任何产品功能的描述进行修改和改进的权利，更新内容不再另行通知。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本产品附带的相关软件，仅限于个人使用，严禁用于商业用途。软件的所有权归本公司所有。不正当的使用，本公司保留追究侵权行为法律责任的权利。 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如果您使用了本产品，表明您同意以上声明，若您不同意以上声明，请您与销售人员联系，办理相应的退货手续。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sz w:val="24"/>
        </w:rPr>
      </w:pPr>
    </w:p>
    <w:sdt>
      <w:sdtPr>
        <w:rPr>
          <w:rFonts w:ascii="宋体" w:hAnsi="宋体" w:eastAsia="宋体"/>
          <w:sz w:val="30"/>
          <w:szCs w:val="30"/>
        </w:rPr>
        <w:id w:val="147478996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Cs/>
          <w:sz w:val="21"/>
          <w:szCs w:val="24"/>
        </w:rPr>
      </w:sdtEndPr>
      <w:sdtContent>
        <w:p>
          <w:pPr>
            <w:jc w:val="center"/>
            <w:rPr>
              <w:sz w:val="30"/>
              <w:szCs w:val="30"/>
            </w:rPr>
          </w:pPr>
          <w:r>
            <w:rPr>
              <w:rFonts w:ascii="宋体" w:hAnsi="宋体" w:eastAsia="宋体"/>
              <w:sz w:val="30"/>
              <w:szCs w:val="30"/>
            </w:rPr>
            <w:t>目录</w:t>
          </w:r>
        </w:p>
        <w:p>
          <w:pPr>
            <w:pStyle w:val="4"/>
            <w:tabs>
              <w:tab w:val="right" w:leader="dot" w:pos="8306"/>
            </w:tabs>
            <w:rPr>
              <w:sz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b/>
              <w:bCs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"_Toc14920"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</w:rPr>
            <w:t>P系列视频拼接服务器使用说明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_Toc14920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1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"_Toc2739" </w:instrText>
          </w:r>
          <w:r>
            <w:fldChar w:fldCharType="separate"/>
          </w:r>
          <w:r>
            <w:rPr>
              <w:rFonts w:ascii="Wingdings" w:hAnsi="Wingdings" w:eastAsia="宋体" w:cs="宋体"/>
              <w:bCs/>
              <w:sz w:val="24"/>
            </w:rPr>
            <w:t xml:space="preserve"> </w:t>
          </w:r>
          <w:r>
            <w:rPr>
              <w:rFonts w:hint="eastAsia" w:ascii="宋体" w:hAnsi="宋体" w:eastAsia="宋体" w:cs="宋体"/>
              <w:bCs/>
              <w:sz w:val="24"/>
            </w:rPr>
            <w:t>声明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_Toc2739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1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"_Toc19026" </w:instrText>
          </w:r>
          <w:r>
            <w:fldChar w:fldCharType="separate"/>
          </w:r>
          <w:r>
            <w:rPr>
              <w:rFonts w:ascii="Wingdings" w:hAnsi="Wingdings" w:eastAsia="宋体" w:cs="宋体"/>
              <w:sz w:val="24"/>
            </w:rPr>
            <w:t xml:space="preserve"> </w:t>
          </w:r>
          <w:r>
            <w:rPr>
              <w:rFonts w:hint="eastAsia" w:ascii="宋体" w:hAnsi="宋体" w:eastAsia="宋体" w:cs="宋体"/>
              <w:bCs/>
              <w:sz w:val="24"/>
            </w:rPr>
            <w:t>安全事项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_Toc19026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2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"_Toc21099" </w:instrText>
          </w:r>
          <w:r>
            <w:fldChar w:fldCharType="separate"/>
          </w:r>
          <w:r>
            <w:rPr>
              <w:rFonts w:ascii="Wingdings" w:hAnsi="Wingdings" w:eastAsia="宋体" w:cs="宋体"/>
              <w:bCs/>
              <w:sz w:val="24"/>
            </w:rPr>
            <w:t xml:space="preserve"> </w:t>
          </w:r>
          <w:r>
            <w:rPr>
              <w:rFonts w:hint="eastAsia" w:ascii="宋体" w:hAnsi="宋体" w:eastAsia="宋体" w:cs="宋体"/>
              <w:bCs/>
              <w:sz w:val="24"/>
            </w:rPr>
            <w:t>系统拓扑图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_Toc21099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3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"_Toc2291" </w:instrText>
          </w:r>
          <w:r>
            <w:fldChar w:fldCharType="separate"/>
          </w:r>
          <w:r>
            <w:rPr>
              <w:rFonts w:ascii="Wingdings" w:hAnsi="Wingdings" w:eastAsia="宋体" w:cs="宋体"/>
              <w:bCs/>
              <w:sz w:val="24"/>
            </w:rPr>
            <w:t xml:space="preserve"> </w:t>
          </w:r>
          <w:r>
            <w:rPr>
              <w:rFonts w:hint="eastAsia" w:ascii="宋体" w:hAnsi="宋体" w:eastAsia="宋体" w:cs="宋体"/>
              <w:bCs/>
              <w:sz w:val="24"/>
            </w:rPr>
            <w:t>硬件连接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_Toc2291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3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"_Toc19929" </w:instrText>
          </w:r>
          <w:r>
            <w:fldChar w:fldCharType="separate"/>
          </w:r>
          <w:r>
            <w:rPr>
              <w:rFonts w:ascii="Wingdings" w:hAnsi="Wingdings" w:eastAsia="宋体" w:cs="宋体"/>
              <w:bCs/>
              <w:sz w:val="24"/>
            </w:rPr>
            <w:t xml:space="preserve"> </w:t>
          </w:r>
          <w:r>
            <w:rPr>
              <w:rFonts w:hint="eastAsia" w:ascii="宋体" w:hAnsi="宋体" w:eastAsia="宋体" w:cs="宋体"/>
              <w:bCs/>
              <w:sz w:val="24"/>
            </w:rPr>
            <w:t>系统调试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_Toc19929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5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"_Toc1754" </w:instrText>
          </w:r>
          <w:r>
            <w:fldChar w:fldCharType="separate"/>
          </w:r>
          <w:r>
            <w:rPr>
              <w:rFonts w:ascii="Wingdings" w:hAnsi="Wingdings" w:eastAsia="宋体" w:cs="宋体"/>
              <w:bCs/>
              <w:sz w:val="24"/>
            </w:rPr>
            <w:t xml:space="preserve"> </w:t>
          </w:r>
          <w:r>
            <w:rPr>
              <w:rFonts w:hint="eastAsia" w:ascii="宋体" w:hAnsi="宋体" w:eastAsia="宋体" w:cs="宋体"/>
              <w:bCs/>
              <w:sz w:val="24"/>
            </w:rPr>
            <w:t>图层和场景编辑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_Toc1754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8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"_Toc16681" </w:instrText>
          </w:r>
          <w:r>
            <w:fldChar w:fldCharType="separate"/>
          </w:r>
          <w:r>
            <w:rPr>
              <w:rFonts w:ascii="Wingdings" w:hAnsi="Wingdings" w:eastAsia="宋体" w:cs="宋体"/>
              <w:bCs/>
              <w:sz w:val="24"/>
            </w:rPr>
            <w:t xml:space="preserve"> </w:t>
          </w:r>
          <w:r>
            <w:rPr>
              <w:rFonts w:hint="eastAsia" w:ascii="宋体" w:hAnsi="宋体" w:eastAsia="宋体" w:cs="宋体"/>
              <w:bCs/>
              <w:sz w:val="24"/>
            </w:rPr>
            <w:t>预监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PAGEREF _Toc16681 \h </w:instrText>
          </w:r>
          <w:r>
            <w:rPr>
              <w:sz w:val="24"/>
            </w:rPr>
            <w:fldChar w:fldCharType="separate"/>
          </w:r>
          <w:r>
            <w:rPr>
              <w:sz w:val="24"/>
            </w:rPr>
            <w:t>9</w:t>
          </w:r>
          <w:r>
            <w:rPr>
              <w:sz w:val="24"/>
            </w:rPr>
            <w:fldChar w:fldCharType="end"/>
          </w:r>
          <w:r>
            <w:rPr>
              <w:sz w:val="24"/>
            </w:rPr>
            <w:fldChar w:fldCharType="end"/>
          </w:r>
        </w:p>
        <w:p>
          <w:pPr>
            <w:spacing w:line="360" w:lineRule="auto"/>
            <w:rPr>
              <w:rFonts w:ascii="宋体" w:hAnsi="宋体" w:eastAsia="宋体" w:cs="宋体"/>
              <w:bCs/>
            </w:rPr>
            <w:sectPr>
              <w:head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bCs/>
            </w:rPr>
            <w:fldChar w:fldCharType="end"/>
          </w:r>
        </w:p>
      </w:sdtContent>
    </w:sdt>
    <w:p>
      <w:pPr>
        <w:numPr>
          <w:ilvl w:val="0"/>
          <w:numId w:val="1"/>
        </w:numPr>
        <w:spacing w:line="360" w:lineRule="auto"/>
        <w:outlineLvl w:val="0"/>
        <w:rPr>
          <w:rFonts w:ascii="宋体" w:hAnsi="宋体" w:eastAsia="宋体" w:cs="宋体"/>
          <w:sz w:val="30"/>
          <w:szCs w:val="30"/>
        </w:rPr>
      </w:pPr>
      <w:bookmarkStart w:id="4" w:name="_Toc31501"/>
      <w:bookmarkStart w:id="5" w:name="_Toc19026"/>
      <w:r>
        <w:rPr>
          <w:rFonts w:hint="eastAsia" w:ascii="宋体" w:hAnsi="宋体" w:eastAsia="宋体" w:cs="宋体"/>
          <w:b/>
          <w:bCs/>
          <w:sz w:val="30"/>
          <w:szCs w:val="30"/>
        </w:rPr>
        <w:t>安全事项</w:t>
      </w:r>
      <w:bookmarkEnd w:id="4"/>
      <w:bookmarkEnd w:id="5"/>
      <w:r>
        <w:rPr>
          <w:rFonts w:hint="eastAsia" w:ascii="宋体" w:hAnsi="宋体" w:eastAsia="宋体" w:cs="宋体"/>
          <w:sz w:val="30"/>
          <w:szCs w:val="30"/>
        </w:rPr>
        <w:t xml:space="preserve"> 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为了您的人身和设备安全，请仔细阅读以下内容。 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电源 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本产品正常工作的电源电压为100~220V 的交流电，请确保在此电压范围内使用本产品。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开盖、维修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本产品含有高压元件，为防止意外事故的发生，非本公司专业技术人员，请勿拆开设备外壳进行相关操作。若有维修需要，请联系专业售后人员安排现场或返厂维修。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接地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为了保护您的人身安全，在使用前，请确保产品良好接地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  <w:bookmarkStart w:id="11" w:name="_GoBack"/>
      <w:bookmarkEnd w:id="11"/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干扰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使用该产品时，请远离强磁场、发动机和变压器等，若有相关干扰的情况，请采取有效的防护措施。 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防潮 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本产品无防水设计，安装、使用时请保持环境的干燥。若设备不慎受潮或表面接触到液体，请不要接入电源，应等设备干燥后联系售后技术人员确认，必要时返厂维护。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远离易燃易爆品 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严禁在易燃易爆环境中使用本产品。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异常现象</w:t>
      </w:r>
    </w:p>
    <w:p>
      <w:pPr>
        <w:keepLines/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使用时应严防液体或金属等导电物质进入设备机箱内部，如若发生， 应立即断电。如发现异响、异味、冒烟等异常情况，请立刻断电，并联系售后技术人员确认，必要时返厂维护。</w:t>
      </w:r>
    </w:p>
    <w:p>
      <w:pPr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numPr>
          <w:ilvl w:val="0"/>
          <w:numId w:val="4"/>
        </w:numPr>
        <w:outlineLvl w:val="0"/>
        <w:rPr>
          <w:rFonts w:ascii="宋体" w:hAnsi="宋体" w:eastAsia="宋体" w:cs="宋体"/>
          <w:b/>
          <w:bCs/>
          <w:sz w:val="30"/>
          <w:szCs w:val="30"/>
        </w:rPr>
      </w:pPr>
      <w:bookmarkStart w:id="6" w:name="_Toc21099"/>
      <w:r>
        <w:rPr>
          <w:rFonts w:hint="eastAsia" w:ascii="宋体" w:hAnsi="宋体" w:eastAsia="宋体" w:cs="宋体"/>
          <w:b/>
          <w:bCs/>
          <w:sz w:val="30"/>
          <w:szCs w:val="30"/>
        </w:rPr>
        <w:t>系统拓扑图</w:t>
      </w:r>
      <w:bookmarkEnd w:id="6"/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36870" cy="3247390"/>
            <wp:effectExtent l="0" t="0" r="11430" b="10160"/>
            <wp:docPr id="1" name="图片 1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numPr>
          <w:ilvl w:val="0"/>
          <w:numId w:val="4"/>
        </w:numPr>
        <w:outlineLvl w:val="0"/>
        <w:rPr>
          <w:rFonts w:ascii="宋体" w:hAnsi="宋体" w:eastAsia="宋体" w:cs="宋体"/>
          <w:b/>
          <w:bCs/>
          <w:sz w:val="30"/>
          <w:szCs w:val="30"/>
        </w:rPr>
      </w:pPr>
      <w:bookmarkStart w:id="7" w:name="_Toc2291"/>
      <w:r>
        <w:rPr>
          <w:rFonts w:hint="eastAsia" w:ascii="宋体" w:hAnsi="宋体" w:eastAsia="宋体" w:cs="宋体"/>
          <w:b/>
          <w:bCs/>
          <w:sz w:val="30"/>
          <w:szCs w:val="30"/>
        </w:rPr>
        <w:t>硬件连接</w:t>
      </w:r>
      <w:bookmarkEnd w:id="7"/>
    </w:p>
    <w:p>
      <w:pPr>
        <w:numPr>
          <w:ilvl w:val="0"/>
          <w:numId w:val="5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建议按以下顺序连接设备相关硬件接口：</w:t>
      </w:r>
    </w:p>
    <w:p>
      <w:pPr>
        <w:numPr>
          <w:ilvl w:val="0"/>
          <w:numId w:val="6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输入接口连接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根据信号源接口类型，将输入视频源和设备输入卡的相同接口相连。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5274310" cy="2005330"/>
            <wp:effectExtent l="0" t="0" r="2540" b="13970"/>
            <wp:docPr id="16" name="图片 16" descr="e7589774a7d40c7d669f0f69f48d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7589774a7d40c7d669f0f69f48da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</w:rPr>
      </w:pPr>
    </w:p>
    <w:p>
      <w:pPr>
        <w:jc w:val="center"/>
        <w:rPr>
          <w:rFonts w:ascii="宋体" w:hAnsi="宋体" w:eastAsia="宋体" w:cs="宋体"/>
        </w:rPr>
      </w:pPr>
    </w:p>
    <w:p>
      <w:pPr>
        <w:jc w:val="center"/>
        <w:rPr>
          <w:rFonts w:ascii="宋体" w:hAnsi="宋体" w:eastAsia="宋体" w:cs="宋体"/>
        </w:rPr>
      </w:pPr>
    </w:p>
    <w:p>
      <w:pPr>
        <w:jc w:val="center"/>
        <w:rPr>
          <w:rFonts w:ascii="宋体" w:hAnsi="宋体" w:eastAsia="宋体" w:cs="宋体"/>
        </w:rPr>
      </w:pPr>
    </w:p>
    <w:p>
      <w:pPr>
        <w:jc w:val="center"/>
        <w:rPr>
          <w:rFonts w:ascii="宋体" w:hAnsi="宋体" w:eastAsia="宋体" w:cs="宋体"/>
        </w:rPr>
      </w:pPr>
    </w:p>
    <w:p>
      <w:pPr>
        <w:jc w:val="center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输出接口连接</w:t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 xml:space="preserve">        网口连接：通过网线连接LED大屏，使用LEDmanager配置相关参数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 xml:space="preserve">        HDMI连接：通过HDMI线，连接发送卡后连接LED显示屏，或直连LCD拼接屏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4926965" cy="2954655"/>
            <wp:effectExtent l="0" t="0" r="6985" b="17145"/>
            <wp:docPr id="21" name="图片 21" descr="896a898d142740b0f240fd5b4a62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96a898d142740b0f240fd5b4a62a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控制端口连接：</w:t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 xml:space="preserve">        USB孔：直连电脑，使用LEDmanager软件调试LED大屏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ind w:left="840" w:hanging="840" w:hangingChars="4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 xml:space="preserve">        RJ45网口：直连或者通过交换机、路由连接电脑，使用web端对屏幕进行拼接、预监、回显、场景等设置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ind w:left="840" w:hanging="840" w:hangingChars="40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030345" cy="3943350"/>
            <wp:effectExtent l="0" t="0" r="8255" b="0"/>
            <wp:docPr id="22" name="图片 22" descr="8efec51c03c9588e69b07366b90e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efec51c03c9588e69b07366b90eb3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hanging="840" w:hangingChars="400"/>
        <w:jc w:val="center"/>
        <w:rPr>
          <w:rFonts w:hint="eastAsia" w:ascii="宋体" w:hAnsi="宋体" w:eastAsia="宋体" w:cs="宋体"/>
        </w:rPr>
      </w:pPr>
    </w:p>
    <w:p>
      <w:pPr>
        <w:numPr>
          <w:ilvl w:val="0"/>
          <w:numId w:val="6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设备电源连接：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将电源连接线一端接设备供电口，一端插入交流220V插座，开关键拨动到ON开机。</w:t>
      </w:r>
    </w:p>
    <w:p>
      <w:pPr>
        <w:numPr>
          <w:ilvl w:val="0"/>
          <w:numId w:val="7"/>
        </w:numPr>
        <w:ind w:left="126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外接电源标准：100-240V交流电,50/60HZ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4629150" cy="2100580"/>
            <wp:effectExtent l="0" t="0" r="0" b="13970"/>
            <wp:docPr id="15" name="图片 15" descr="008a9737b30d889f9e03f7f8a333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8a9737b30d889f9e03f7f8a333b9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numPr>
          <w:ilvl w:val="0"/>
          <w:numId w:val="4"/>
        </w:numPr>
        <w:outlineLvl w:val="0"/>
        <w:rPr>
          <w:rFonts w:ascii="宋体" w:hAnsi="宋体" w:eastAsia="宋体" w:cs="宋体"/>
          <w:b/>
          <w:bCs/>
          <w:sz w:val="30"/>
          <w:szCs w:val="30"/>
        </w:rPr>
      </w:pPr>
      <w:bookmarkStart w:id="8" w:name="_Toc19929"/>
      <w:r>
        <w:rPr>
          <w:rFonts w:hint="eastAsia" w:ascii="宋体" w:hAnsi="宋体" w:eastAsia="宋体" w:cs="宋体"/>
          <w:b/>
          <w:bCs/>
          <w:sz w:val="30"/>
          <w:szCs w:val="30"/>
        </w:rPr>
        <w:t>系统调试</w:t>
      </w:r>
      <w:bookmarkEnd w:id="8"/>
    </w:p>
    <w:p>
      <w:pPr>
        <w:numPr>
          <w:ilvl w:val="0"/>
          <w:numId w:val="8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软件下载</w:t>
      </w:r>
    </w:p>
    <w:p>
      <w:pPr>
        <w:ind w:left="840" w:hanging="840" w:hangingChars="4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</w:t>
      </w:r>
      <w:r>
        <w:rPr>
          <w:rFonts w:hint="eastAsia" w:ascii="宋体" w:hAnsi="宋体" w:eastAsia="宋体" w:cs="宋体"/>
          <w:szCs w:val="21"/>
        </w:rPr>
        <w:t xml:space="preserve"> 在官网www.zhonghangled.com，下载软件：</w:t>
      </w:r>
      <w:r>
        <w:rPr>
          <w:rFonts w:hint="eastAsia" w:ascii="宋体" w:hAnsi="宋体" w:eastAsia="宋体" w:cs="宋体"/>
          <w:szCs w:val="21"/>
          <w:lang w:val="en-US" w:eastAsia="zh-CN"/>
        </w:rPr>
        <w:t>V</w:t>
      </w:r>
      <w:r>
        <w:rPr>
          <w:rFonts w:hint="eastAsia" w:ascii="宋体" w:hAnsi="宋体" w:eastAsia="宋体" w:cs="宋体"/>
          <w:szCs w:val="21"/>
        </w:rPr>
        <w:t>5.006.005.070以及以上版本安装调试使用。</w:t>
      </w:r>
    </w:p>
    <w:p>
      <w:pPr>
        <w:numPr>
          <w:ilvl w:val="0"/>
          <w:numId w:val="8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配屏调试</w:t>
      </w:r>
    </w:p>
    <w:p>
      <w:pPr>
        <w:numPr>
          <w:ilvl w:val="1"/>
          <w:numId w:val="8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打开软件后依次点击“设置”--“显示屏设置”--“配置屏幕参数”--进入“发送卡”页面，设置“画布大小”。</w:t>
      </w:r>
    </w:p>
    <w:p>
      <w:pPr>
        <w:numPr>
          <w:ilvl w:val="0"/>
          <w:numId w:val="9"/>
        </w:numPr>
        <w:ind w:left="126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“配置屏幕参数”密码为168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numPr>
          <w:ilvl w:val="0"/>
          <w:numId w:val="9"/>
        </w:numPr>
        <w:ind w:left="126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“画布大小”直接填写为整屏LED显示屏分辨率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40580" cy="3066415"/>
            <wp:effectExtent l="0" t="0" r="7620" b="635"/>
            <wp:docPr id="2" name="图片 2" descr="8a0cf6e6c07bce311df41bb897cd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0cf6e6c07bce311df41bb897cd9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numPr>
          <w:ilvl w:val="1"/>
          <w:numId w:val="8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点击“窗口设置”，在“输入卡”中选中一路信号源拖动到右侧画布，点击“设置”。</w:t>
      </w:r>
    </w:p>
    <w:p>
      <w:pPr>
        <w:numPr>
          <w:ilvl w:val="0"/>
          <w:numId w:val="10"/>
        </w:numPr>
        <w:ind w:left="1260"/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59690</wp:posOffset>
                </wp:positionV>
                <wp:extent cx="85090" cy="85725"/>
                <wp:effectExtent l="0" t="0" r="10160" b="952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1845" y="4928235"/>
                          <a:ext cx="85090" cy="8572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14CD68"/>
                            </a:gs>
                            <a:gs pos="100000">
                              <a:srgbClr val="0B6E38"/>
                            </a:gs>
                          </a:gsLst>
                          <a:lin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5.25pt;margin-top:4.7pt;height:6.75pt;width:6.7pt;z-index:251660288;v-text-anchor:middle;mso-width-relative:page;mso-height-relative:page;" fillcolor="#14CD68" filled="t" stroked="f" coordsize="21600,21600" o:gfxdata="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fUZEK1gAAAAgBAAAPAAAAAAAAAAEAIAAAACIAAABkcnMvZG93bnJldi54bWxQSwEC&#10;FAAUAAAACACHTuJAd804kqECAABDBQAADgAAAAAAAAABACAAAAAlAQAAZHJzL2Uyb0RvYy54bWxQ&#10;SwUGAAAAAAYABgBZAQAAOAYAAAAA&#10;">
                <v:fill type="gradient" on="t" color2="#0B6E38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w:t xml:space="preserve"> 代表输入信号正常识别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41875" cy="3342005"/>
            <wp:effectExtent l="0" t="0" r="15875" b="10795"/>
            <wp:docPr id="3" name="图片 3" descr="ecffd780164f70cc1db7e127fb36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ffd780164f70cc1db7e127fb368b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numPr>
          <w:ilvl w:val="1"/>
          <w:numId w:val="8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点击左上角“接收卡”，在最下面选择“从文件加载”，选中模组参数文件，根据实际情况修改后，在右下角点击“发送到硬件”，发送完成后模组正常，点击“保存到硬件”。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4949825" cy="3386455"/>
            <wp:effectExtent l="0" t="0" r="3175" b="4445"/>
            <wp:docPr id="5" name="图片 5" descr="48c1972c4d0a4ca74f61eacf72fe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c1972c4d0a4ca74f61eacf72fe9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numPr>
          <w:ilvl w:val="1"/>
          <w:numId w:val="8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左上角选择“显示屏连接”，设置“接收卡列数”、“接收卡行数”、“接收卡大小”后，将网线连接顺序正确连接，（在此处，只需记住一点，正面看LED屏和正面看电脑是一个方向，分清上下左右即可）。配置完成以后，点击“发送到硬件”，屏幕正常显示后点击“保存到硬件”，调试完成。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4737100" cy="2938780"/>
            <wp:effectExtent l="0" t="0" r="6350" b="13970"/>
            <wp:docPr id="6" name="图片 6" descr="14db0239a05c4f060122b8bda99c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db0239a05c4f060122b8bda99c6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</w:t>
      </w:r>
    </w:p>
    <w:p>
      <w:pPr>
        <w:rPr>
          <w:rFonts w:hint="eastAsia" w:ascii="宋体" w:hAnsi="宋体" w:eastAsia="宋体" w:cs="宋体"/>
        </w:rPr>
      </w:pPr>
    </w:p>
    <w:p>
      <w:pPr>
        <w:numPr>
          <w:ilvl w:val="0"/>
          <w:numId w:val="4"/>
        </w:numPr>
        <w:outlineLvl w:val="0"/>
        <w:rPr>
          <w:rFonts w:ascii="宋体" w:hAnsi="宋体" w:eastAsia="宋体" w:cs="宋体"/>
          <w:b/>
          <w:bCs/>
          <w:sz w:val="30"/>
          <w:szCs w:val="30"/>
        </w:rPr>
      </w:pPr>
      <w:bookmarkStart w:id="9" w:name="_Toc1754"/>
      <w:r>
        <w:rPr>
          <w:rFonts w:hint="eastAsia" w:ascii="宋体" w:hAnsi="宋体" w:eastAsia="宋体" w:cs="宋体"/>
          <w:b/>
          <w:bCs/>
          <w:sz w:val="30"/>
          <w:szCs w:val="30"/>
        </w:rPr>
        <w:t>图层和场景编辑</w:t>
      </w:r>
      <w:bookmarkEnd w:id="9"/>
    </w:p>
    <w:p>
      <w:pPr>
        <w:numPr>
          <w:ilvl w:val="0"/>
          <w:numId w:val="11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Web登录</w:t>
      </w:r>
    </w:p>
    <w:p>
      <w:pPr>
        <w:ind w:left="840" w:hanging="840" w:hangingChars="4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在浏览器中输入192.168.1.99的IP，点击回车进入登录界面，输入“用户名”、“密码”登录。</w:t>
      </w:r>
    </w:p>
    <w:p>
      <w:pPr>
        <w:numPr>
          <w:ilvl w:val="0"/>
          <w:numId w:val="12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设备出厂默认IP:192.168.1.99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numPr>
          <w:ilvl w:val="0"/>
          <w:numId w:val="12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电脑设置固定IP网段的为192.168.1.xx，其中xx不能是99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numPr>
          <w:ilvl w:val="0"/>
          <w:numId w:val="12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默认“用户名”为“admin”,“密码”为“Zh168888”。</w:t>
      </w:r>
    </w:p>
    <w:p>
      <w:pPr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4979035" cy="2795270"/>
            <wp:effectExtent l="0" t="0" r="12065" b="5080"/>
            <wp:docPr id="18" name="图片 18" descr="c3ccf3d896a4c1067542a3fc8672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3ccf3d896a4c1067542a3fc867247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lang w:eastAsia="zh-CN"/>
        </w:rPr>
      </w:pPr>
    </w:p>
    <w:p>
      <w:pPr>
        <w:numPr>
          <w:ilvl w:val="0"/>
          <w:numId w:val="11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配屏</w:t>
      </w:r>
    </w:p>
    <w:p>
      <w:pPr>
        <w:ind w:left="420" w:left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点击“新建屏幕”，设置屏幕的“名称”、“宽”和“高”。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55845" cy="3366135"/>
            <wp:effectExtent l="0" t="0" r="1905" b="5715"/>
            <wp:docPr id="8" name="图片 8" descr="975112715c8ede1876e7f638721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75112715c8ede1876e7f63872179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numPr>
          <w:ilvl w:val="0"/>
          <w:numId w:val="11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144145</wp:posOffset>
            </wp:positionV>
            <wp:extent cx="276225" cy="276225"/>
            <wp:effectExtent l="0" t="0" r="9525" b="9525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编辑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点击    添加需要的“输入信号”，修改对应的位置“X”、“Y”和“宽”、“高”，点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击“保存场景”。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679950" cy="3363595"/>
            <wp:effectExtent l="0" t="0" r="635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</w:rPr>
      </w:pPr>
    </w:p>
    <w:p>
      <w:pPr>
        <w:numPr>
          <w:ilvl w:val="0"/>
          <w:numId w:val="11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上屏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点击上屏，将设置好的场景切换显示到大屏。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584700" cy="3300730"/>
            <wp:effectExtent l="0" t="0" r="635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numPr>
          <w:ilvl w:val="0"/>
          <w:numId w:val="4"/>
        </w:numPr>
        <w:outlineLvl w:val="0"/>
        <w:rPr>
          <w:rFonts w:ascii="宋体" w:hAnsi="宋体" w:eastAsia="宋体" w:cs="宋体"/>
          <w:b/>
          <w:bCs/>
          <w:sz w:val="30"/>
          <w:szCs w:val="30"/>
        </w:rPr>
      </w:pPr>
      <w:bookmarkStart w:id="10" w:name="_Toc16681"/>
      <w:r>
        <w:rPr>
          <w:rFonts w:hint="eastAsia" w:ascii="宋体" w:hAnsi="宋体" w:eastAsia="宋体" w:cs="宋体"/>
          <w:b/>
          <w:bCs/>
          <w:sz w:val="30"/>
          <w:szCs w:val="30"/>
        </w:rPr>
        <w:t>预监</w:t>
      </w:r>
      <w:bookmarkEnd w:id="10"/>
    </w:p>
    <w:p>
      <w:pPr>
        <w:numPr>
          <w:ilvl w:val="0"/>
          <w:numId w:val="13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web端预监</w:t>
      </w:r>
    </w:p>
    <w:p>
      <w:pPr>
        <w:ind w:left="420" w:left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在web端点击预监可查看预监画面。</w:t>
      </w:r>
    </w:p>
    <w:p>
      <w:pPr>
        <w:numPr>
          <w:ilvl w:val="0"/>
          <w:numId w:val="13"/>
        </w:numPr>
        <w:ind w:left="0" w:firstLine="420" w:firstLineChars="200"/>
        <w:outlineLvl w:val="1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液晶面预监</w:t>
      </w:r>
    </w:p>
    <w:p>
      <w:pPr>
        <w:ind w:left="420" w:left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在液晶面板点击预监，可以查看预监画面。</w:t>
      </w:r>
    </w:p>
    <w:p>
      <w:pPr>
        <w:numPr>
          <w:ilvl w:val="0"/>
          <w:numId w:val="14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部分产品无液晶面板，只能在web查看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jc w:val="center"/>
        <w:rPr>
          <w:rFonts w:ascii="宋体" w:hAnsi="宋体" w:eastAsia="宋体" w:cs="宋体"/>
          <w:sz w:val="30"/>
          <w:szCs w:val="30"/>
        </w:rPr>
      </w:pPr>
      <w:r>
        <w:drawing>
          <wp:inline distT="0" distB="0" distL="114300" distR="114300">
            <wp:extent cx="4860290" cy="2466975"/>
            <wp:effectExtent l="0" t="0" r="16510" b="952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</w:pPr>
    <w:r>
      <w:pict>
        <v:shape id="PowerPlusWaterMarkObject11068" o:spid="_x0000_s1025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 w:eastAsia="宋体"/>
      </w:rPr>
      <w:drawing>
        <wp:inline distT="0" distB="0" distL="114300" distR="114300">
          <wp:extent cx="1678940" cy="356870"/>
          <wp:effectExtent l="0" t="0" r="0" b="5080"/>
          <wp:docPr id="19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</w:t>
    </w:r>
    <w:r>
      <w:rPr>
        <w:rFonts w:hint="eastAsia"/>
        <w:lang w:val="en-US" w:eastAsia="zh-CN"/>
      </w:rPr>
      <w:t xml:space="preserve">   </w:t>
    </w:r>
    <w:r>
      <w:rPr>
        <w:rFonts w:hint="eastAsia" w:ascii="宋体" w:hAnsi="宋体" w:eastAsia="宋体" w:cs="宋体"/>
        <w:color w:val="7F7F7F"/>
        <w:sz w:val="24"/>
      </w:rPr>
      <w:t>《</w:t>
    </w:r>
    <w:r>
      <w:rPr>
        <w:rFonts w:hint="eastAsia" w:ascii="宋体" w:hAnsi="宋体" w:cs="宋体"/>
        <w:color w:val="7F7F7F"/>
        <w:sz w:val="24"/>
      </w:rPr>
      <w:t>P系列视频拼接服务器使用说明</w:t>
    </w:r>
    <w:r>
      <w:rPr>
        <w:rFonts w:hint="eastAsia"/>
        <w:color w:val="7F7F7F"/>
        <w:sz w:val="24"/>
      </w:rPr>
      <w:t>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2A93F3"/>
    <w:multiLevelType w:val="singleLevel"/>
    <w:tmpl w:val="832A93F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B9E92CB"/>
    <w:multiLevelType w:val="multilevel"/>
    <w:tmpl w:val="9B9E92C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84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84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84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84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84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84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84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840" w:firstLine="0"/>
      </w:pPr>
      <w:rPr>
        <w:rFonts w:hint="default"/>
      </w:rPr>
    </w:lvl>
  </w:abstractNum>
  <w:abstractNum w:abstractNumId="2">
    <w:nsid w:val="A6674F93"/>
    <w:multiLevelType w:val="singleLevel"/>
    <w:tmpl w:val="A6674F93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A82591A4"/>
    <w:multiLevelType w:val="singleLevel"/>
    <w:tmpl w:val="A82591A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C17F3554"/>
    <w:multiLevelType w:val="singleLevel"/>
    <w:tmpl w:val="C17F355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5">
    <w:nsid w:val="D061A3C6"/>
    <w:multiLevelType w:val="singleLevel"/>
    <w:tmpl w:val="D061A3C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F3BB9F3D"/>
    <w:multiLevelType w:val="multilevel"/>
    <w:tmpl w:val="F3BB9F3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84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84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84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84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84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84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84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840" w:firstLine="0"/>
      </w:pPr>
      <w:rPr>
        <w:rFonts w:hint="default"/>
      </w:rPr>
    </w:lvl>
  </w:abstractNum>
  <w:abstractNum w:abstractNumId="7">
    <w:nsid w:val="F51D2C4C"/>
    <w:multiLevelType w:val="singleLevel"/>
    <w:tmpl w:val="F51D2C4C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02103FD1"/>
    <w:multiLevelType w:val="multilevel"/>
    <w:tmpl w:val="02103FD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84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84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84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84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84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84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84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840" w:firstLine="0"/>
      </w:pPr>
      <w:rPr>
        <w:rFonts w:hint="default"/>
      </w:rPr>
    </w:lvl>
  </w:abstractNum>
  <w:abstractNum w:abstractNumId="9">
    <w:nsid w:val="3C6705F3"/>
    <w:multiLevelType w:val="singleLevel"/>
    <w:tmpl w:val="3C6705F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45E28FFE"/>
    <w:multiLevelType w:val="singleLevel"/>
    <w:tmpl w:val="45E28FF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46B88A93"/>
    <w:multiLevelType w:val="singleLevel"/>
    <w:tmpl w:val="46B88A9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6A3FF574"/>
    <w:multiLevelType w:val="singleLevel"/>
    <w:tmpl w:val="6A3FF57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13">
    <w:nsid w:val="7BC822AB"/>
    <w:multiLevelType w:val="singleLevel"/>
    <w:tmpl w:val="7BC822A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7"/>
  </w:num>
  <w:num w:numId="5">
    <w:abstractNumId w:val="0"/>
  </w:num>
  <w:num w:numId="6">
    <w:abstractNumId w:val="3"/>
  </w:num>
  <w:num w:numId="7">
    <w:abstractNumId w:val="11"/>
  </w:num>
  <w:num w:numId="8">
    <w:abstractNumId w:val="6"/>
  </w:num>
  <w:num w:numId="9">
    <w:abstractNumId w:val="9"/>
  </w:num>
  <w:num w:numId="10">
    <w:abstractNumId w:val="5"/>
  </w:num>
  <w:num w:numId="11">
    <w:abstractNumId w:val="1"/>
  </w:num>
  <w:num w:numId="12">
    <w:abstractNumId w:val="12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  <w:docVar w:name="KSO_WPS_MARK_KEY" w:val="37e831a3-f02a-4a83-a7fb-e796c60fab19"/>
  </w:docVars>
  <w:rsids>
    <w:rsidRoot w:val="00A64742"/>
    <w:rsid w:val="004426D7"/>
    <w:rsid w:val="005A05BE"/>
    <w:rsid w:val="00A64742"/>
    <w:rsid w:val="03AF5B42"/>
    <w:rsid w:val="042D1459"/>
    <w:rsid w:val="04A24AEC"/>
    <w:rsid w:val="056A5BBE"/>
    <w:rsid w:val="07072F10"/>
    <w:rsid w:val="0DF36210"/>
    <w:rsid w:val="0E3F15D2"/>
    <w:rsid w:val="11EC57E6"/>
    <w:rsid w:val="15F975C8"/>
    <w:rsid w:val="19EF40C6"/>
    <w:rsid w:val="1AFE79E7"/>
    <w:rsid w:val="21501063"/>
    <w:rsid w:val="21576675"/>
    <w:rsid w:val="21AB1AC1"/>
    <w:rsid w:val="28A56B14"/>
    <w:rsid w:val="2D5F6558"/>
    <w:rsid w:val="2D9B4DDC"/>
    <w:rsid w:val="37796DD8"/>
    <w:rsid w:val="3B955923"/>
    <w:rsid w:val="3D0F2FE4"/>
    <w:rsid w:val="3DDC0210"/>
    <w:rsid w:val="4110479E"/>
    <w:rsid w:val="441C3E7A"/>
    <w:rsid w:val="4463212F"/>
    <w:rsid w:val="45F405C5"/>
    <w:rsid w:val="461B7151"/>
    <w:rsid w:val="4977560B"/>
    <w:rsid w:val="49C73C0C"/>
    <w:rsid w:val="4A325BE9"/>
    <w:rsid w:val="4A966FEB"/>
    <w:rsid w:val="4CB14E7C"/>
    <w:rsid w:val="4DF41736"/>
    <w:rsid w:val="4F9A1DC4"/>
    <w:rsid w:val="52601A83"/>
    <w:rsid w:val="547C3BA7"/>
    <w:rsid w:val="54D17B94"/>
    <w:rsid w:val="591F547F"/>
    <w:rsid w:val="5BD94CF3"/>
    <w:rsid w:val="65490A7B"/>
    <w:rsid w:val="6B53130B"/>
    <w:rsid w:val="6B601CFA"/>
    <w:rsid w:val="7089529F"/>
    <w:rsid w:val="77A24C5B"/>
    <w:rsid w:val="78BB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customStyle="1" w:styleId="7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5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1641</Words>
  <Characters>1812</Characters>
  <Lines>17</Lines>
  <Paragraphs>4</Paragraphs>
  <TotalTime>1</TotalTime>
  <ScaleCrop>false</ScaleCrop>
  <LinksUpToDate>false</LinksUpToDate>
  <CharactersWithSpaces>1944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2023-02-20T03:29:00Z</dcterms:created>
  <dc:creator>中航002</dc:creator>
  <cp:lastModifiedBy>深巷的猫</cp:lastModifiedBy>
  <dcterms:modified xsi:type="dcterms:W3CDTF">2023-03-07T08:53:52Z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1F1C3C46599148F1A005AEBE7837F96A</vt:lpwstr>
  </property>
</Properties>
</file>